
<file path=[Content_Types].xml><?xml version="1.0" encoding="utf-8"?>
<Types xmlns="http://schemas.openxmlformats.org/package/2006/content-types">
  <Default Extension="xlsx" ContentType="application/vnd.openxmlformats-officedocument.spreadsheetml.sheet"/>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2"/>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ІІ БӨЛІМ</w:t>
      </w:r>
    </w:p>
    <w:p w14:paraId="00000002">
      <w:pPr>
        <w:rPr>
          <w:rFonts w:hint="default" w:ascii="Times New Roman" w:hAnsi="Times New Roman" w:eastAsia="Cambria" w:cs="Times New Roman"/>
          <w:b/>
          <w:bCs/>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"https://drive.google.com/drive/folders/1gXnr5pimRey5NjW7Qe1vq0tBxL8oDTw8?usp=drive_link"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bCs/>
          <w:color w:val="0000FF"/>
          <w:sz w:val="28"/>
          <w:szCs w:val="28"/>
          <w:u w:val="single"/>
          <w:rtl w:val="0"/>
        </w:rPr>
        <w:t>https://drive.google.com/drive/folders/1gXnr5pimRey5NjW7Qe1vq0tBxL8oDTw8?usp=drive_link</w:t>
      </w:r>
      <w:r>
        <w:rPr>
          <w:rFonts w:hint="default" w:ascii="Times New Roman" w:hAnsi="Times New Roman" w:eastAsia="Times New Roman" w:cs="Times New Roman"/>
          <w:b/>
          <w:bCs/>
          <w:color w:val="0000FF"/>
          <w:sz w:val="28"/>
          <w:szCs w:val="28"/>
          <w:u w:val="single"/>
          <w:rtl w:val="0"/>
        </w:rPr>
        <w:fldChar w:fldCharType="end"/>
      </w:r>
    </w:p>
    <w:p w14:paraId="0000000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Мектепке дейінгі ұйымның кадрлық әлеуетін талдау</w:t>
      </w: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06">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Әкімшілік-басқару қызметкерлер туралы ақпарат</w:t>
      </w:r>
    </w:p>
    <w:p w14:paraId="00000007">
      <w:pPr>
        <w:rPr>
          <w:rFonts w:hint="default" w:ascii="Times New Roman" w:hAnsi="Times New Roman" w:cs="Times New Roman"/>
          <w:sz w:val="28"/>
          <w:szCs w:val="28"/>
        </w:rPr>
      </w:pP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42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Басқару құрылымы мектепке дейінгі ұйым меңгерушісінің, әдіскердің, шаруашылық ісі жөніндегі меңгеруші орынбасарының, медициналық бикенің қызметтері мен өзін-өзі басқару органдарының өзара байланысын қамтиды: педагогикалық кеңес, қамқоршылық кеңес, ата-аналар комитеті, ата-аналар жиналысы және мектепке дейінгі ұйым қызметкерлерінің жалпы жиналысы.</w:t>
      </w: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4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tbl>
      <w:tblPr>
        <w:tblStyle w:val="13"/>
        <w:tblW w:w="11023"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84"/>
        <w:gridCol w:w="1512"/>
        <w:gridCol w:w="1656"/>
        <w:gridCol w:w="1518"/>
        <w:gridCol w:w="1317"/>
        <w:gridCol w:w="1134"/>
        <w:gridCol w:w="3402"/>
      </w:tblGrid>
      <w:tr w14:paraId="54521A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72468EB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w:t>
            </w:r>
          </w:p>
        </w:tc>
        <w:tc>
          <w:tcPr>
            <w:vAlign w:val="center"/>
          </w:tcPr>
          <w:p w14:paraId="27A12286">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Т.А.Ә.</w:t>
            </w:r>
          </w:p>
        </w:tc>
        <w:tc>
          <w:tcPr>
            <w:vAlign w:val="center"/>
          </w:tcPr>
          <w:p w14:paraId="51BA7FB8">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Лауазымы</w:t>
            </w:r>
          </w:p>
        </w:tc>
        <w:tc>
          <w:tcPr>
            <w:vAlign w:val="center"/>
          </w:tcPr>
          <w:p w14:paraId="5DE6552B">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Білімі</w:t>
            </w:r>
          </w:p>
        </w:tc>
        <w:tc>
          <w:tcPr>
            <w:vAlign w:val="center"/>
          </w:tcPr>
          <w:p w14:paraId="58FF446A">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Санаты</w:t>
            </w:r>
          </w:p>
        </w:tc>
        <w:tc>
          <w:tcPr>
            <w:vAlign w:val="center"/>
          </w:tcPr>
          <w:p w14:paraId="5E526702">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Жалпы еңбек өтілі</w:t>
            </w:r>
          </w:p>
        </w:tc>
        <w:tc>
          <w:tcPr>
            <w:vAlign w:val="center"/>
          </w:tcPr>
          <w:p w14:paraId="705B7EB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Құзыреттіліктері</w:t>
            </w:r>
          </w:p>
        </w:tc>
      </w:tr>
      <w:tr w14:paraId="674780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14B85C4E">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w:t>
            </w:r>
          </w:p>
        </w:tc>
        <w:tc>
          <w:tcPr>
            <w:vAlign w:val="center"/>
          </w:tcPr>
          <w:p w14:paraId="415C74DA">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Кривенко Т.И.</w:t>
            </w:r>
          </w:p>
        </w:tc>
        <w:tc>
          <w:tcPr>
            <w:vAlign w:val="center"/>
          </w:tcPr>
          <w:p w14:paraId="23AA82A0">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меңгеруші</w:t>
            </w:r>
          </w:p>
        </w:tc>
        <w:tc>
          <w:tcPr>
            <w:vAlign w:val="center"/>
          </w:tcPr>
          <w:p w14:paraId="516345CD">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жоғары</w:t>
            </w:r>
          </w:p>
        </w:tc>
        <w:tc>
          <w:tcPr>
            <w:vAlign w:val="center"/>
          </w:tcPr>
          <w:p w14:paraId="0E62F78A">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басшының ІІІ санаты</w:t>
            </w:r>
          </w:p>
        </w:tc>
        <w:tc>
          <w:tcPr>
            <w:vAlign w:val="center"/>
          </w:tcPr>
          <w:p w14:paraId="6E2780E2">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39 жыл</w:t>
            </w:r>
          </w:p>
        </w:tc>
        <w:tc>
          <w:tcPr>
            <w:vAlign w:val="center"/>
          </w:tcPr>
          <w:p w14:paraId="35925A8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Басқару аппараты қызметінің тиімділігін арттыру бойынша жалпы басшылықты жүзеге асырады</w:t>
            </w:r>
          </w:p>
        </w:tc>
      </w:tr>
      <w:tr w14:paraId="71662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1E3C6AFF">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w:t>
            </w:r>
          </w:p>
        </w:tc>
        <w:tc>
          <w:tcPr>
            <w:vAlign w:val="center"/>
          </w:tcPr>
          <w:p w14:paraId="5149992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Андросова О.А.</w:t>
            </w:r>
          </w:p>
        </w:tc>
        <w:tc>
          <w:tcPr>
            <w:vAlign w:val="center"/>
          </w:tcPr>
          <w:p w14:paraId="2F2E573B">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әдіскер</w:t>
            </w:r>
          </w:p>
        </w:tc>
        <w:tc>
          <w:tcPr>
            <w:vAlign w:val="center"/>
          </w:tcPr>
          <w:p w14:paraId="1035EB6E">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арнаулы- орта</w:t>
            </w:r>
          </w:p>
        </w:tc>
        <w:tc>
          <w:tcPr>
            <w:vAlign w:val="center"/>
          </w:tcPr>
          <w:p w14:paraId="52050EE5">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педагог-сарапшы</w:t>
            </w:r>
          </w:p>
        </w:tc>
        <w:tc>
          <w:tcPr>
            <w:vAlign w:val="center"/>
          </w:tcPr>
          <w:p w14:paraId="66E0B3F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20 жыл</w:t>
            </w:r>
          </w:p>
        </w:tc>
        <w:tc>
          <w:tcPr>
            <w:vAlign w:val="center"/>
          </w:tcPr>
          <w:p w14:paraId="01D64117">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Балалардың білім беру сапасы мен денсаулық сақтау қызметінің мониторингі бойынша бақылау-талдау жұмыстарын жүргізеді</w:t>
            </w:r>
          </w:p>
        </w:tc>
      </w:tr>
      <w:tr w14:paraId="65238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5978743A">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w:t>
            </w:r>
          </w:p>
        </w:tc>
        <w:tc>
          <w:tcPr>
            <w:vAlign w:val="center"/>
          </w:tcPr>
          <w:p w14:paraId="5DA12462">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Калина Ю.Н.</w:t>
            </w:r>
          </w:p>
        </w:tc>
        <w:tc>
          <w:tcPr>
            <w:vAlign w:val="center"/>
          </w:tcPr>
          <w:p w14:paraId="5D53DBE9">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шаруашылық бөлімі бойынша меңгерушінің орынбасары</w:t>
            </w:r>
          </w:p>
        </w:tc>
        <w:tc>
          <w:tcPr>
            <w:vAlign w:val="center"/>
          </w:tcPr>
          <w:p w14:paraId="6E798212">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жоғары</w:t>
            </w:r>
          </w:p>
        </w:tc>
        <w:tc>
          <w:tcPr>
            <w:vAlign w:val="center"/>
          </w:tcPr>
          <w:p w14:paraId="0B562987">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w:t>
            </w:r>
          </w:p>
        </w:tc>
        <w:tc>
          <w:tcPr>
            <w:vAlign w:val="center"/>
          </w:tcPr>
          <w:p w14:paraId="653197AA">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 жыл</w:t>
            </w:r>
          </w:p>
        </w:tc>
        <w:tc>
          <w:tcPr>
            <w:vAlign w:val="center"/>
          </w:tcPr>
          <w:p w14:paraId="0FC8F8E6">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Материалдық-техникалық базаның сапалы қамтамасыз етілуіне бақылау жүргізеді, еңбек қауіпсіздігі, өрт қауіпсіздігі және терроризмге қарсы қорғалу мәселелері бойынша бақылау қызметін жүзеге асырады</w:t>
            </w:r>
          </w:p>
        </w:tc>
      </w:tr>
    </w:tbl>
    <w:p w14:paraId="31E0233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4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27">
      <w:pPr>
        <w:pStyle w:val="4"/>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5-тармақ. Тиісті бейін бойынша жоғары (жоғары оқу орнынан кейінгі) педагогикалық білімі немесе педагогикалық қайта даярлауды растайтын құжаты бар педагогтердің үлесі.</w:t>
      </w:r>
    </w:p>
    <w:p w14:paraId="00000028">
      <w:pPr>
        <w:rPr>
          <w:sz w:val="28"/>
          <w:szCs w:val="28"/>
        </w:rPr>
      </w:pPr>
    </w:p>
    <w:p w14:paraId="00000029">
      <w:pPr>
        <w:pStyle w:val="4"/>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                            Педагог кадрлармен қамтамасыз етілуі</w:t>
      </w:r>
    </w:p>
    <w:p w14:paraId="000000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4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 кадрлармен толықтыру әр оқу жылының қыркүйек айында Қазақстан Республикасы Оқу-ағарту министрінің 2024 жылғы 11 желтоқсандағы №356 бұйрығы негізінде жүзеге асырылады. Қазақстан Республикасы Әділет министрлігінде 2024 жылғы 12 желтоқсанда №35475 болып тіркелген (Қазақстан Республикасы Оқу-ағарту министрі міндетін атқарушының 2023 жылғы 21 шілдедегі №224 «Мемлекеттік білім беру ұйымдары қызметкерлерінің үлгі штаттарын бекіту туралы» бұйрығына енгізілген өзгерістерді ескере отырып).</w:t>
      </w:r>
    </w:p>
    <w:p w14:paraId="0000002B">
      <w:pPr>
        <w:pStyle w:val="5"/>
        <w:rPr>
          <w:rFonts w:ascii="Times New Roman" w:hAnsi="Times New Roman" w:eastAsia="Times New Roman" w:cs="Times New Roman"/>
          <w:b w:val="0"/>
          <w:bCs w:val="0"/>
          <w:sz w:val="28"/>
          <w:szCs w:val="28"/>
        </w:rPr>
      </w:pPr>
      <w:r>
        <w:rPr>
          <w:rFonts w:ascii="Times New Roman" w:hAnsi="Times New Roman" w:eastAsia="Times New Roman" w:cs="Times New Roman"/>
          <w:sz w:val="28"/>
          <w:szCs w:val="28"/>
          <w:rtl w:val="0"/>
        </w:rPr>
        <w:t>2025 жылғы 01.12</w:t>
      </w:r>
      <w:r>
        <w:rPr>
          <w:rFonts w:ascii="Times New Roman" w:hAnsi="Times New Roman" w:eastAsia="Times New Roman" w:cs="Times New Roman"/>
          <w:b w:val="0"/>
          <w:bCs w:val="0"/>
          <w:sz w:val="28"/>
          <w:szCs w:val="28"/>
          <w:rtl w:val="0"/>
        </w:rPr>
        <w:t xml:space="preserve"> жағдай бойынша білім беру ұйымында:</w:t>
      </w:r>
    </w:p>
    <w:p w14:paraId="000000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Барлығы – 24 педагог (декреттік демалыстағы қызметкерді есептемегенде);</w:t>
      </w:r>
    </w:p>
    <w:p w14:paraId="000000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11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-25 педагог (декреттік демалыстағы қызметкерді қоса алғанда).</w:t>
      </w:r>
    </w:p>
    <w:p w14:paraId="0000002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Педагогтердің білім деңгейі </w:t>
      </w: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(01.12.2025 ж.):</w:t>
      </w:r>
    </w:p>
    <w:p w14:paraId="0000002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Жоғары білімді – 14 педагог (56%)</w:t>
      </w:r>
    </w:p>
    <w:p w14:paraId="0000003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Арнаулы орта білімді – 11 педагог (44%)</w:t>
      </w:r>
    </w:p>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Біліктілік санаттары бойынша:</w:t>
      </w:r>
    </w:p>
    <w:p w14:paraId="000000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Педагог-сарапшы – 5 педагог (21%)</w:t>
      </w:r>
    </w:p>
    <w:p w14:paraId="000000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Педагог-модератор – 11 педагог (46%)</w:t>
      </w:r>
    </w:p>
    <w:p w14:paraId="000000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 – 6 педагог (25%)</w:t>
      </w:r>
    </w:p>
    <w:p w14:paraId="000000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Санаты жоқ – 1 педагог (4%)</w:t>
      </w:r>
    </w:p>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ІІ санат – 1 педагог (4%, декреттік демалыста)</w:t>
      </w:r>
    </w:p>
    <w:p w14:paraId="0000003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Базалық білімі бойынша:</w:t>
      </w:r>
    </w:p>
    <w:p w14:paraId="0000003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тәрбие және оқыту бағыты бойынша базалық білімі бар – 19 педагог;</w:t>
      </w:r>
    </w:p>
    <w:p w14:paraId="0000003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Педагогикалық қайта даярлаудан өткен – 1 педагог;</w:t>
      </w:r>
    </w:p>
    <w:p w14:paraId="0000003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Бейіндік мамандар – 5 педагог (қазақ тілі мұғалімі, логопед, педагог-психолог, музыка жетекшісі, дене тәрбиесі нұсқаушысы), оның ішінде 2 педагог қоса атқарушы болып табылады.</w:t>
      </w:r>
    </w:p>
    <w:p w14:paraId="0000003B">
      <w:pPr>
        <w:pStyle w:val="5"/>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2026 жылғы 20 мамырдағы жағдай бойынша білім беру ұйымында:</w:t>
      </w:r>
    </w:p>
    <w:p w14:paraId="0000003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Барлығы – 23 педагог (декреттік демалыстағы қызметкерді есептемегенде);</w:t>
      </w:r>
    </w:p>
    <w:p w14:paraId="0000003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140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24 педагог (декреттік демалыстағы қызметкерді қоса алғанда).</w:t>
      </w:r>
    </w:p>
    <w:p w14:paraId="0000003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Педагогтердің білім деңгейі (20.05.2026 ж.):</w:t>
      </w:r>
    </w:p>
    <w:p w14:paraId="0000003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Жоғары білімді – 14 педагог (58%)</w:t>
      </w:r>
    </w:p>
    <w:p w14:paraId="000000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Арнаулы орта білімді – 10 педагог (42%)</w:t>
      </w:r>
    </w:p>
    <w:p w14:paraId="0000004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Біліктілік санаттары бойынша:</w:t>
      </w:r>
    </w:p>
    <w:p w14:paraId="0000004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7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Педагог-сарапшы – 5 педагог (22%)</w:t>
      </w:r>
    </w:p>
    <w:p w14:paraId="0000004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7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Педагог-модератор – 10 педагог (44%)</w:t>
      </w:r>
    </w:p>
    <w:p w14:paraId="0000004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7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 – 6 педагог (26%)</w:t>
      </w:r>
    </w:p>
    <w:p w14:paraId="000000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7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Санаты жоқ – 1 педагог (4%)</w:t>
      </w:r>
    </w:p>
    <w:p w14:paraId="0000004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72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ІІ санат – 1 педагог (4%, декреттік демалыста)</w:t>
      </w:r>
    </w:p>
    <w:p w14:paraId="000000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Базалық білімі бойынша:</w:t>
      </w:r>
    </w:p>
    <w:p w14:paraId="0000004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тәрбие және оқыту бағыты бойынша базалық білімі бар – 19 педагог;</w:t>
      </w:r>
    </w:p>
    <w:p w14:paraId="0000004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Педагогикалық қайта даярлаудан өткен – 1 педагог;</w:t>
      </w:r>
    </w:p>
    <w:p w14:paraId="0000004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Бейіндік мамандар – 5 педагог (қазақ тілі мұғалімі, логопед, педагог-психолог, музыка жетекшісі, дене тәрбиесі</w:t>
      </w:r>
      <w:r>
        <w:rPr>
          <w:rFonts w:ascii="Times New Roman" w:hAnsi="Times New Roman" w:eastAsia="Times New Roman" w:cs="Times New Roman"/>
          <w:b w:val="0"/>
          <w:bCs w:val="0"/>
          <w:i w:val="0"/>
          <w:iCs w:val="0"/>
          <w:smallCaps w:val="0"/>
          <w:strike w:val="0"/>
          <w:color w:val="FF0000"/>
          <w:sz w:val="28"/>
          <w:szCs w:val="28"/>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нұсқаушысы), оның ішінде 2 педагог қоса атқарушы болып табылады.</w:t>
      </w:r>
    </w:p>
    <w:p w14:paraId="0000004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7" w:right="0" w:hanging="17"/>
        <w:jc w:val="center"/>
        <w:rPr>
          <w:rFonts w:ascii="Times New Roman" w:hAnsi="Times New Roman" w:eastAsia="Times New Roman" w:cs="Times New Roman"/>
          <w:b w:val="0"/>
          <w:bCs w:val="0"/>
          <w:i w:val="0"/>
          <w:iCs w:val="0"/>
          <w:smallCaps w:val="0"/>
          <w:strike w:val="0"/>
          <w:color w:val="FF0000"/>
          <w:sz w:val="28"/>
          <w:szCs w:val="28"/>
          <w:u w:val="none"/>
          <w:shd w:val="clear" w:fill="auto"/>
          <w:vertAlign w:val="baseline"/>
        </w:rPr>
      </w:pPr>
      <w:r>
        <w:rPr>
          <w:rFonts w:hint="default" w:ascii="Times New Roman" w:hAnsi="Times New Roman" w:cs="Times New Roman"/>
          <w:sz w:val="28"/>
          <w:szCs w:val="28"/>
          <w:rtl w:val="0"/>
          <w:lang w:val="ru-RU"/>
        </w:rPr>
        <w:drawing>
          <wp:inline distT="0" distB="0" distL="114300" distR="114300">
            <wp:extent cx="5256530" cy="2244090"/>
            <wp:effectExtent l="4445" t="4445" r="15875" b="1841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inline>
        </w:drawing>
      </w:r>
    </w:p>
    <w:p w14:paraId="0000004C">
      <w:pPr>
        <w:rPr>
          <w:rFonts w:ascii="Times New Roman" w:hAnsi="Times New Roman" w:eastAsia="Times New Roman" w:cs="Times New Roman"/>
          <w:color w:val="FF0000"/>
          <w:sz w:val="28"/>
          <w:szCs w:val="28"/>
        </w:rPr>
      </w:pPr>
    </w:p>
    <w:p w14:paraId="0000004D">
      <w:pPr>
        <w:pStyle w:val="4"/>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2025–2026 оқу жылы</w:t>
      </w:r>
    </w:p>
    <w:p w14:paraId="0000004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білімі бар педагогтердің үлесі – 100% (20.05.2026 ж. жағдай бойынша).</w:t>
      </w:r>
    </w:p>
    <w:p w14:paraId="000000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Жоғары білімі бар педагогтердің үлесі – 58%.</w:t>
      </w:r>
    </w:p>
    <w:p w14:paraId="0000005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Қызметкерлердің жеке істері хатшыда жеке папкаларда, тіркеу тізімдемесімен бірге сақталады. Негізгі қызмет бойынша, жеке құрам бойынша және тәрбиеленушілер қозғалысы бойынша бұйрықтар жүргізіледі.</w:t>
      </w:r>
    </w:p>
    <w:p w14:paraId="0000005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ұйымның құжаттамасы мемлекеттік және орыс тілдерінде жүргізіледі.</w:t>
      </w:r>
    </w:p>
    <w:p w14:paraId="0000005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Жеке құрам бойынша және негізгі қызмет бойынша бұйрықтарды тіркеу журналдары бар. Барлық қызметкерлер өздерінің лауазымдық міндеттерімен, ішкі еңбек тәртібі қағидаларымен және жұмыс кестесімен таныстырылған.</w:t>
      </w:r>
    </w:p>
    <w:p w14:paraId="0000005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Қауіпсіздік техникасы, еңбек қауіпсіздігі және еңбекті қорғау, тәрбиеленушілердің өмірі мен денсаулығын қорғау, өрт қауіпсіздігі және терроризмге қарсы қорғалу мәселелері бойынша нұсқамалар бекітілген жоспарға сәйкес өткізіледі.</w:t>
      </w:r>
    </w:p>
    <w:p w14:paraId="00000054">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Қорытынды</w:t>
      </w:r>
    </w:p>
    <w:p w14:paraId="0000005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Талдау нәтижесінде мектепке дейінгі ұйым педагогтерінің келесі оң көрсеткіштері анықталды:</w:t>
      </w:r>
    </w:p>
    <w:p w14:paraId="0000005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-педагогтердің базалық және бейіндік білім деңгейі жоғары, бейін бойынша біліммен қамтамасыз етілуі – 100%;</w:t>
      </w:r>
    </w:p>
    <w:p w14:paraId="0000005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-21 педагогтің (87,5%) педагогикалық еңбек өтілі 5 жылдан жоғары;</w:t>
      </w:r>
    </w:p>
    <w:p w14:paraId="000000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 педагог жас мамандарға тәлімгерлік етеді.</w:t>
      </w:r>
    </w:p>
    <w:p w14:paraId="0000005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Сонымен қатар мектепке дейінгі ұйымда келесі педагогикалық кадрларға қажеттілік бар:</w:t>
      </w:r>
    </w:p>
    <w:p w14:paraId="0000005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тілінде оқытатын топтарға тәрбиеші – 4 бірлік;</w:t>
      </w:r>
    </w:p>
    <w:p w14:paraId="0000005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орыс тілінде оқытатын топтарға музыка жетекшісі – 1 бірлік;</w:t>
      </w:r>
    </w:p>
    <w:p w14:paraId="000000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және орыс тілдерінде оқытатын топтарға жүзу нұсқаушысы – 0,5/0,5 бірлік;</w:t>
      </w:r>
    </w:p>
    <w:p w14:paraId="0000005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орыс тілінде қызмет атқаратын педагог-психолог – 0,5 бірлік;</w:t>
      </w:r>
    </w:p>
    <w:p w14:paraId="0000005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тілінде қызмет атқаратын әдіскер – 0,5 бірлік.</w:t>
      </w:r>
    </w:p>
    <w:p w14:paraId="0000005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sz w:val="28"/>
          <w:szCs w:val="28"/>
          <w:rtl w:val="0"/>
        </w:rPr>
        <w:t>Жоғары білімі бар педагогтердің үлесі –80%дан төмен (58%) -2 балл</w:t>
      </w:r>
    </w:p>
    <w:p w14:paraId="00000060">
      <w:pPr>
        <w:pStyle w:val="4"/>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tl w:val="0"/>
        </w:rPr>
        <w:t>Перспектива: бос лауазымдарға тәрбиешілерді және жас мамандарды тарту жұмыстарын жалғастыру.</w:t>
      </w:r>
    </w:p>
    <w:p w14:paraId="00000061">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Қосымша</w:t>
      </w:r>
    </w:p>
    <w:p w14:paraId="0000006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Білім туралы құжаттар, сапалық құрам.</w:t>
      </w:r>
    </w:p>
    <w:p w14:paraId="0000006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"https://drive.google.com/drive/folders/1ViKZHYwiV5vgN1gOIK8Vq2ETQBCB8vuM?usp=drive_link"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t>https://drive.google.com/drive/folders/1ViKZHYwiV5vgN1gOIK8Vq2ETQBCB8vuM?usp=drive_link</w:t>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fldChar w:fldCharType="end"/>
      </w:r>
    </w:p>
    <w:p w14:paraId="00000064">
      <w:pPr>
        <w:rPr>
          <w:rFonts w:hint="default" w:ascii="Times New Roman" w:hAnsi="Times New Roman" w:eastAsia="Times New Roman" w:cs="Times New Roman"/>
          <w:sz w:val="28"/>
          <w:szCs w:val="28"/>
        </w:rPr>
      </w:pPr>
    </w:p>
    <w:p w14:paraId="00000065">
      <w:pPr>
        <w:pStyle w:val="3"/>
        <w:rPr>
          <w:rFonts w:hint="default" w:ascii="Times New Roman" w:hAnsi="Times New Roman" w:eastAsia="Times New Roman" w:cs="Times New Roman"/>
          <w:i w:val="0"/>
          <w:iCs w:val="0"/>
          <w:sz w:val="28"/>
          <w:szCs w:val="28"/>
        </w:rPr>
      </w:pPr>
      <w:r>
        <w:rPr>
          <w:rFonts w:hint="default" w:ascii="Times New Roman" w:hAnsi="Times New Roman" w:eastAsia="Times New Roman" w:cs="Times New Roman"/>
          <w:i w:val="0"/>
          <w:iCs w:val="0"/>
          <w:sz w:val="28"/>
          <w:szCs w:val="28"/>
          <w:rtl w:val="0"/>
        </w:rPr>
        <w:t>6-тармақ. Педагогтердің біліктілік санаты деңгейін кемінде 5 (бес) жылда бір рет (оның ішінде басшылар – кемінде 3 (үш) жылда бір рет) арттыруы немесе растауы бойынша үлесі)</w:t>
      </w:r>
    </w:p>
    <w:p w14:paraId="00000066">
      <w:pPr>
        <w:pStyle w:val="4"/>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Педагог қызметкерлердің біліктілік деңгейін талдау</w:t>
      </w:r>
    </w:p>
    <w:p w14:paraId="0000006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Балабақша педагогтерін аттестаттау жоспары әзірленген. Жыл сайын аттестаттау және сараптамалық комиссия отырыстарының хаттамалары жүргізіледі, бұйрықтар шығарылады, біліктілік куәліктерін тіркеу және беру журналы толтырылады.</w:t>
      </w:r>
    </w:p>
    <w:p w14:paraId="0000006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Құжаттама Қазақстан Республикасы Білім және ғылым министрінің 2016 жылғы 27 қаңтардағы №83 бұйрығына (Қазақстан Республикасы Оқу-ағарту министрінің 2025 жылғы 25 ақпандағы №32 бұйрығымен енгізілген өзгерістер мен толықтыруларды ескере отырып) сәйкес жүргізіледі.</w:t>
      </w:r>
    </w:p>
    <w:p w14:paraId="0000006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sz w:val="28"/>
          <w:szCs w:val="28"/>
          <w:highlight w:val="white"/>
          <w:rtl w:val="0"/>
          <w:lang w:val="ru-RU"/>
        </w:rPr>
        <w:drawing>
          <wp:inline distT="0" distB="0" distL="114300" distR="114300">
            <wp:extent cx="6748780" cy="2426970"/>
            <wp:effectExtent l="4445" t="4445" r="9525" b="698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14:paraId="0000006A">
      <w:pPr>
        <w:pStyle w:val="4"/>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Педагог қызметкерлердің біліктілік деңгейін талдау</w:t>
      </w:r>
    </w:p>
    <w:p w14:paraId="0000006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(20.05.2026 ж. жағдай бойынша)</w:t>
      </w:r>
    </w:p>
    <w:p w14:paraId="0000006C">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Қорытынды</w:t>
      </w:r>
    </w:p>
    <w:p w14:paraId="0000006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Педагогтердің біліктілік сипаттамалары бойынша жүргізілген талдау олардың кәсіби деңгейінің жыл сайын артып келе жатқанын көрсетті.</w:t>
      </w:r>
    </w:p>
    <w:p w14:paraId="0000006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2026 жылы 3 педагог мәлімделген біліктілік санаттары бойынша аттестаттаудан өтеді («педагог-модератор», «педагог-сарапшы»).</w:t>
      </w:r>
    </w:p>
    <w:p w14:paraId="0000006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Санаты жоқ 1 педагог педагогикалық қызметін қайта бастаған қызметкер болып табылады, ал ІІ санатты 1 педагог декреттік демалыста.</w:t>
      </w:r>
    </w:p>
    <w:p w14:paraId="0000007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Бес жылда кемінде бір рет біліктілік санатының деңгейін арттырған немесе растаған педагогтердің үлесі (оның ішінде басшылар – үш жылда кемінде бір рет) – 90-99</w:t>
      </w:r>
      <w:r>
        <w:rPr>
          <w:rFonts w:hint="default" w:ascii="Times New Roman" w:hAnsi="Times New Roman" w:eastAsia="Times New Roman" w:cs="Times New Roman"/>
          <w:b/>
          <w:bCs/>
          <w:sz w:val="28"/>
          <w:szCs w:val="28"/>
          <w:rtl w:val="0"/>
        </w:rPr>
        <w:t>%- (</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92%)</w:t>
      </w:r>
      <w:r>
        <w:rPr>
          <w:rFonts w:hint="default" w:ascii="Times New Roman" w:hAnsi="Times New Roman" w:eastAsia="Times New Roman" w:cs="Times New Roman"/>
          <w:b/>
          <w:bCs/>
          <w:sz w:val="28"/>
          <w:szCs w:val="28"/>
          <w:rtl w:val="0"/>
        </w:rPr>
        <w:t>-</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 4 балл.</w:t>
      </w:r>
    </w:p>
    <w:p w14:paraId="00000071">
      <w:pPr>
        <w:pStyle w:val="4"/>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sz w:val="28"/>
          <w:szCs w:val="28"/>
          <w:rtl w:val="0"/>
        </w:rPr>
        <w:t>Ұсынымдар:</w:t>
      </w:r>
      <w:r>
        <w:rPr>
          <w:rFonts w:hint="default" w:ascii="Times New Roman" w:hAnsi="Times New Roman" w:eastAsia="Times New Roman" w:cs="Times New Roman"/>
          <w:b w:val="0"/>
          <w:bCs w:val="0"/>
          <w:sz w:val="28"/>
          <w:szCs w:val="28"/>
          <w:rtl w:val="0"/>
        </w:rPr>
        <w:t>педагог қызметкерлердің кәсіби біліктілік деңгейін арттыру жұмыстарын жалғастыру; аттестаттау кезеңінде әдістемелік қолдау көрсету; педагогтердің ғылыми-әдістемелік іс-шараларға қатысуын ынталандыру; жас мамандардың педагогикалық шеберлігін жетілдіруге жағдай жасау жұмыстарын жалғастыру.</w:t>
      </w:r>
    </w:p>
    <w:p w14:paraId="00000072">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Қосымша</w:t>
      </w:r>
    </w:p>
    <w:p w14:paraId="000000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Сапалық құрам.</w:t>
      </w:r>
    </w:p>
    <w:p w14:paraId="0000007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"https://drive.google.com/drive/folders/1goF7If-lvVc94FQzTd8o4gr27HlNOXhf?usp=drive_link"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t>https://drive.google.com/drive/folders/1goF7If-lvVc94FQzTd8o4gr27HlNOXhf?usp=drive_link</w:t>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fldChar w:fldCharType="end"/>
      </w:r>
    </w:p>
    <w:p w14:paraId="00000075">
      <w:pPr>
        <w:rPr>
          <w:rFonts w:hint="default" w:ascii="Times New Roman" w:hAnsi="Times New Roman" w:eastAsia="Times New Roman" w:cs="Times New Roman"/>
          <w:sz w:val="28"/>
          <w:szCs w:val="28"/>
        </w:rPr>
      </w:pPr>
    </w:p>
    <w:p w14:paraId="00000076">
      <w:pPr>
        <w:pStyle w:val="3"/>
        <w:rPr>
          <w:rFonts w:hint="default" w:ascii="Times New Roman" w:hAnsi="Times New Roman" w:eastAsia="Times New Roman" w:cs="Times New Roman"/>
          <w:i w:val="0"/>
          <w:iCs w:val="0"/>
          <w:sz w:val="28"/>
          <w:szCs w:val="28"/>
        </w:rPr>
      </w:pPr>
      <w:r>
        <w:rPr>
          <w:rFonts w:hint="default" w:ascii="Times New Roman" w:hAnsi="Times New Roman" w:eastAsia="Times New Roman" w:cs="Times New Roman"/>
          <w:i w:val="0"/>
          <w:iCs w:val="0"/>
          <w:sz w:val="28"/>
          <w:szCs w:val="28"/>
          <w:rtl w:val="0"/>
        </w:rPr>
        <w:t>7-тармақ. Педагогтердің (оның ішінде басшылар мен олардың орынбасарларының) біліктілігін арттыру курстарынан кемінде 3 (үш) жылда бір рет өткен үлесінің сәйкестігі.</w:t>
      </w:r>
    </w:p>
    <w:p w14:paraId="00000077">
      <w:pPr>
        <w:rPr>
          <w:rFonts w:hint="default" w:ascii="Times New Roman" w:hAnsi="Times New Roman" w:cs="Times New Roman"/>
          <w:sz w:val="28"/>
          <w:szCs w:val="28"/>
        </w:rPr>
      </w:pPr>
    </w:p>
    <w:p w14:paraId="00000078">
      <w:pP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2026 жылғы мамырдағы жағдай бойынша.</w:t>
      </w:r>
    </w:p>
    <w:p w14:paraId="00000079">
      <w:pPr>
        <w:pStyle w:val="4"/>
        <w:rPr>
          <w:rFonts w:hint="default" w:ascii="Times New Roman" w:hAnsi="Times New Roman" w:eastAsia="Times New Roman" w:cs="Times New Roman"/>
          <w:b w:val="0"/>
          <w:bCs w:val="0"/>
          <w:sz w:val="28"/>
          <w:szCs w:val="28"/>
          <w:u w:val="single"/>
        </w:rPr>
      </w:pPr>
    </w:p>
    <w:p w14:paraId="0000007A">
      <w:pPr>
        <w:pStyle w:val="4"/>
        <w:rPr>
          <w:rFonts w:hint="default" w:ascii="Times New Roman" w:hAnsi="Times New Roman" w:eastAsia="Times New Roman" w:cs="Times New Roman"/>
          <w:b w:val="0"/>
          <w:bCs w:val="0"/>
          <w:sz w:val="28"/>
          <w:szCs w:val="28"/>
          <w:u w:val="single"/>
        </w:rPr>
      </w:pPr>
    </w:p>
    <w:p w14:paraId="0000007B">
      <w:pPr>
        <w:pStyle w:val="4"/>
        <w:rPr>
          <w:rFonts w:hint="default" w:ascii="Times New Roman" w:hAnsi="Times New Roman" w:eastAsia="Times New Roman" w:cs="Times New Roman"/>
          <w:b w:val="0"/>
          <w:bCs w:val="0"/>
          <w:sz w:val="28"/>
          <w:szCs w:val="28"/>
          <w:u w:val="single"/>
        </w:rPr>
      </w:pPr>
      <w:r>
        <w:rPr>
          <w:rFonts w:hint="default" w:ascii="Times New Roman" w:hAnsi="Times New Roman" w:eastAsia="Times New Roman" w:cs="Times New Roman"/>
          <w:b w:val="0"/>
          <w:bCs w:val="0"/>
          <w:sz w:val="28"/>
          <w:szCs w:val="28"/>
          <w:u w:val="single"/>
          <w:rtl w:val="0"/>
        </w:rPr>
        <w:t>Біліктілік деңгейлерін арттырды:</w:t>
      </w:r>
    </w:p>
    <w:p w14:paraId="0000007C">
      <w:pPr>
        <w:rPr>
          <w:rFonts w:hint="default" w:ascii="Times New Roman" w:hAnsi="Times New Roman" w:cs="Times New Roman"/>
          <w:sz w:val="28"/>
          <w:szCs w:val="28"/>
        </w:rPr>
      </w:pPr>
    </w:p>
    <w:p w14:paraId="0000007D">
      <w:pPr>
        <w:pStyle w:val="4"/>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tl w:val="0"/>
        </w:rPr>
        <w:t>Кривенко Т. И., Андросова О.А., Хагазбек М., Айтмагамбетова З.М., Прокофьева Н. В., Сатан А., Бахытбол Б., Жиенбаева Ш.К., Кичайкина М.О., Тажибаева Э.П., Альжанова Г.А., Корчагина О.С., Сайфиева В.В., Давлетова  Д.А., Жижкина Н.А., Дерендяева И. В., Соловьева  И.Н.</w:t>
      </w:r>
    </w:p>
    <w:p w14:paraId="0000007E">
      <w:pPr>
        <w:pStyle w:val="4"/>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tl w:val="0"/>
        </w:rPr>
        <w:t>Курстық дайындық перспективалық жоспарға сәйкес жүзеге асырылады. 2025-2026 оқу жылында – 17 адам (75%) біліктілікті арттыру курстарынан өтті. Біліктілікті арттыру курстары жоқ: 1-Жарлық, 2 маман, 1 –Педагогикалық қызметті жаңғырту. 2026-2027 оқу жылында біліктілікті арттыру курстарынан өту қажет-9 педагог, инклюзивті білім беру курстарына назар аудару қажет.2026-2027 жылдарға арналған педагогтардың біліктілігін арттыру курстарынан өту жоспары жасалды.</w:t>
      </w:r>
    </w:p>
    <w:p w14:paraId="0000007F">
      <w:pPr>
        <w:pStyle w:val="4"/>
        <w:rPr>
          <w:rFonts w:hint="default" w:ascii="Times New Roman" w:hAnsi="Times New Roman" w:eastAsia="Times New Roman" w:cs="Times New Roman"/>
          <w:sz w:val="28"/>
          <w:szCs w:val="28"/>
        </w:rPr>
      </w:pPr>
      <w:bookmarkStart w:id="0" w:name="_bj2g1bmbs4r3" w:colFirst="0" w:colLast="0"/>
      <w:bookmarkEnd w:id="0"/>
      <w:r>
        <w:rPr>
          <w:rFonts w:hint="default" w:ascii="Times New Roman" w:hAnsi="Times New Roman" w:eastAsia="Times New Roman" w:cs="Times New Roman"/>
          <w:sz w:val="28"/>
          <w:szCs w:val="28"/>
          <w:rtl w:val="0"/>
        </w:rPr>
        <w:t xml:space="preserve">Қорытынды: Үш жылда кемінде бір рет біліктілікті арттыру курстарынан өткен педагогтердің үлесі (оның ішінде басшылар мен басшы орынбасарлары) </w:t>
      </w:r>
    </w:p>
    <w:p w14:paraId="00000080">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xml:space="preserve"> – 80-89% (20 педагогтер, 83%)- 3 балл.</w:t>
      </w:r>
    </w:p>
    <w:p w14:paraId="00000081">
      <w:pPr>
        <w:rPr>
          <w:rFonts w:hint="default" w:ascii="Times New Roman" w:hAnsi="Times New Roman" w:cs="Times New Roman"/>
          <w:sz w:val="28"/>
          <w:szCs w:val="28"/>
        </w:rPr>
      </w:pPr>
      <w:bookmarkStart w:id="2" w:name="_GoBack"/>
      <w:bookmarkEnd w:id="2"/>
    </w:p>
    <w:p w14:paraId="00000082">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Қосымша</w:t>
      </w:r>
    </w:p>
    <w:p w14:paraId="0000008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Біліктілікті арттыру туралы мәліметтер, курстарға қажеттілік.</w:t>
      </w:r>
    </w:p>
    <w:p w14:paraId="0000008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"https://drive.google.com/drive/folders/1MtuyLAGNFy9-JhsrbEnUw7SkcEVxluUc?usp=drive_link"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t>https://drive.google.com/drive/folders/1MtuyLAGNFy9-JhsrbEnUw7SkcEVxluUc?usp=drive_link</w:t>
      </w:r>
      <w:r>
        <w:rPr>
          <w:rFonts w:hint="default" w:ascii="Times New Roman" w:hAnsi="Times New Roman" w:eastAsia="Times New Roman" w:cs="Times New Roman"/>
          <w:b w:val="0"/>
          <w:bCs w:val="0"/>
          <w:i w:val="0"/>
          <w:iCs w:val="0"/>
          <w:smallCaps w:val="0"/>
          <w:strike w:val="0"/>
          <w:color w:val="0000FF"/>
          <w:sz w:val="28"/>
          <w:szCs w:val="28"/>
          <w:u w:val="single"/>
          <w:shd w:val="clear" w:fill="auto"/>
          <w:vertAlign w:val="baseline"/>
          <w:rtl w:val="0"/>
        </w:rPr>
        <w:fldChar w:fldCharType="end"/>
      </w:r>
    </w:p>
    <w:p w14:paraId="00000085">
      <w:pPr>
        <w:rPr>
          <w:rFonts w:hint="default" w:ascii="Times New Roman" w:hAnsi="Times New Roman" w:eastAsia="Times New Roman" w:cs="Times New Roman"/>
          <w:color w:val="0000FF"/>
          <w:sz w:val="28"/>
          <w:szCs w:val="28"/>
        </w:rPr>
      </w:pPr>
      <w:bookmarkStart w:id="1" w:name="_k9mzkpu6v4lk" w:colFirst="0" w:colLast="0"/>
      <w:bookmarkEnd w:id="1"/>
    </w:p>
    <w:sectPr>
      <w:pgSz w:w="11906" w:h="16838"/>
      <w:pgMar w:top="720" w:right="720" w:bottom="720" w:left="720" w:header="720" w:footer="72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B6DB6A57-95B1-451A-B3CD-72811DCDDDC1}"/>
  </w:font>
  <w:font w:name="Courier New">
    <w:panose1 w:val="02070309020205020404"/>
    <w:charset w:val="00"/>
    <w:family w:val="modern"/>
    <w:pitch w:val="default"/>
    <w:sig w:usb0="E0002EFF" w:usb1="C0007843" w:usb2="00000009" w:usb3="00000000" w:csb0="400001FF" w:csb1="FFFF0000"/>
    <w:embedRegular r:id="rId2" w:fontKey="{B0B313A7-383E-426A-AA3A-986D83D31EF5}"/>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7AFAF931-862A-4E06-8FA0-8203FF20AC78}"/>
  </w:font>
  <w:font w:name="Calibri">
    <w:panose1 w:val="020F0502020204030204"/>
    <w:charset w:val="86"/>
    <w:family w:val="swiss"/>
    <w:pitch w:val="default"/>
    <w:sig w:usb0="E4002EFF" w:usb1="C200247B" w:usb2="00000009" w:usb3="00000000" w:csb0="200001FF" w:csb1="00000000"/>
    <w:embedRegular r:id="rId4" w:fontKey="{AA0484A6-D9F0-44AB-AB1F-5A26FD48E5CC}"/>
  </w:font>
  <w:font w:name="Georgia">
    <w:panose1 w:val="02040502050405020303"/>
    <w:charset w:val="00"/>
    <w:family w:val="auto"/>
    <w:pitch w:val="default"/>
    <w:sig w:usb0="00000287" w:usb1="00000000" w:usb2="00000000" w:usb3="00000000" w:csb0="2000009F" w:csb1="00000000"/>
    <w:embedRegular r:id="rId5" w:fontKey="{EE4F335A-ED93-4E44-AA7E-8C5D28CFBA80}"/>
  </w:font>
  <w:font w:name="Cambria">
    <w:panose1 w:val="02040503050406030204"/>
    <w:charset w:val="00"/>
    <w:family w:val="auto"/>
    <w:pitch w:val="default"/>
    <w:sig w:usb0="E00006FF" w:usb1="420024FF" w:usb2="02000000" w:usb3="00000000" w:csb0="2000019F" w:csb1="00000000"/>
    <w:embedRegular r:id="rId6" w:fontKey="{6D5A6BFB-C28B-4389-A88B-48EEABC099A6}"/>
  </w:font>
  <w:font w:name="Calibri">
    <w:panose1 w:val="020F0502020204030204"/>
    <w:charset w:val="00"/>
    <w:family w:val="swiss"/>
    <w:pitch w:val="default"/>
    <w:sig w:usb0="E4002EFF" w:usb1="C200247B" w:usb2="00000009" w:usb3="00000000" w:csb0="200001FF" w:csb1="00000000"/>
    <w:embedRegular r:id="rId7" w:fontKey="{D40207F4-C69A-4BDE-A84A-052D544E814E}"/>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ompat>
    <w:compatSetting w:name="compatibilityMode" w:uri="http://schemas.microsoft.com/office/word" w:val="15"/>
  </w:compat>
  <w:rsids>
    <w:rsidRoot w:val="00000000"/>
    <w:rsid w:val="0775081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rPr>
      <w:rFonts w:ascii="Calibri" w:hAnsi="Calibri" w:eastAsia="Calibri" w:cs="Calibri"/>
      <w:lang w:val="ru"/>
    </w:rPr>
  </w:style>
  <w:style w:type="paragraph" w:styleId="2">
    <w:name w:val="heading 1"/>
    <w:basedOn w:val="1"/>
    <w:next w:val="1"/>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color w:val="000000"/>
      <w:sz w:val="48"/>
      <w:szCs w:val="48"/>
      <w:u w:val="none"/>
      <w:shd w:val="clear" w:fill="auto"/>
      <w:vertAlign w:val="baseline"/>
    </w:rPr>
  </w:style>
  <w:style w:type="paragraph" w:styleId="3">
    <w:name w:val="heading 2"/>
    <w:basedOn w:val="1"/>
    <w:next w:val="1"/>
    <w:qFormat/>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i/>
      <w:iCs/>
      <w:color w:val="000000"/>
      <w:sz w:val="36"/>
      <w:szCs w:val="36"/>
      <w:u w:val="none"/>
      <w:shd w:val="clear" w:fill="auto"/>
      <w:vertAlign w:val="baseline"/>
    </w:rPr>
  </w:style>
  <w:style w:type="paragraph" w:styleId="4">
    <w:name w:val="heading 3"/>
    <w:basedOn w:val="1"/>
    <w:next w:val="1"/>
    <w:qFormat/>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color w:val="000000"/>
      <w:sz w:val="26"/>
      <w:szCs w:val="26"/>
      <w:u w:val="none"/>
      <w:shd w:val="clear" w:fill="auto"/>
      <w:vertAlign w:val="baseline"/>
    </w:rPr>
  </w:style>
  <w:style w:type="paragraph" w:styleId="5">
    <w:name w:val="heading 4"/>
    <w:basedOn w:val="1"/>
    <w:next w:val="1"/>
    <w:qFormat/>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color w:val="000000"/>
      <w:sz w:val="24"/>
      <w:szCs w:val="24"/>
      <w:u w:val="none"/>
      <w:shd w:val="clear" w:fill="auto"/>
      <w:vertAlign w:val="baseline"/>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hart" Target="charts/chart2.xml"/><Relationship Id="rId4" Type="http://schemas.openxmlformats.org/officeDocument/2006/relationships/chart" Target="charts/chart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
        <c:rich>
          <a:bodyPr/>
          <a:lstStyle/>
          <a:p>
            <a:pPr>
              <a:defRPr/>
            </a:pPr>
          </a:p>
        </c:rich>
      </c:tx>
    </c:title>
    <c:autoTitleDeleted val="0"/>
    <c:plotArea>
      <c:layout/>
      <c:barChart>
        <c:barDir val="col"/>
        <c:grouping val="clustered"/>
        <c:varyColors val="0"/>
        <c:ser>
          <c:idx val="0"/>
          <c:order val="0"/>
          <c:tx>
            <c:strRef>
              <c:f>Sheet1!$B$1</c:f>
              <c:strCache>
                <c:ptCount val="1"/>
                <c:pt idx="0">
                  <c:v>2025-2026 </c:v>
                </c:pt>
              </c:strCache>
            </c:strRef>
          </c:tx>
          <c:spPr>
            <a:solidFill>
              <a:srgbClr val="00B050"/>
            </a:solidFill>
            <a:ln>
              <a:noFill/>
            </a:ln>
            <a:effectLst/>
          </c:spPr>
          <c:invertIfNegative val="0"/>
          <c:dLbls>
            <c:dLbl>
              <c:idx val="0"/>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lumMod val="75000"/>
                            <a:lumOff val="25000"/>
                          </a:schemeClr>
                        </a:solidFill>
                        <a:latin typeface="+mn-lt"/>
                        <a:ea typeface="+mn-ea"/>
                        <a:cs typeface="+mn-cs"/>
                      </a:defRPr>
                    </a:pPr>
                    <a:r>
                      <a:rPr sz="1400" b="1"/>
                      <a:t>58%</a:t>
                    </a:r>
                    <a:endParaRPr sz="1400" b="1"/>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lumMod val="75000"/>
                            <a:lumOff val="25000"/>
                          </a:schemeClr>
                        </a:solidFill>
                        <a:latin typeface="+mn-lt"/>
                        <a:ea typeface="+mn-ea"/>
                        <a:cs typeface="+mn-cs"/>
                      </a:defRPr>
                    </a:pPr>
                    <a:r>
                      <a:rPr sz="1400" b="1"/>
                      <a:t>42%</a:t>
                    </a:r>
                    <a:endParaRPr sz="1400" b="1"/>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Sheet1!$A$2:$A$3</c:f>
              <c:strCache>
                <c:ptCount val="2"/>
                <c:pt idx="0">
                  <c:v>жоғары білімді</c:v>
                </c:pt>
                <c:pt idx="1">
                  <c:v>арнаулы орта білімді</c:v>
                </c:pt>
              </c:strCache>
            </c:strRef>
          </c:cat>
          <c:val>
            <c:numRef>
              <c:f>Sheet1!$B$2:$B$3</c:f>
              <c:numCache>
                <c:formatCode>0%</c:formatCode>
                <c:ptCount val="2"/>
                <c:pt idx="0">
                  <c:v>0.58</c:v>
                </c:pt>
                <c:pt idx="1">
                  <c:v>0.42</c:v>
                </c:pt>
              </c:numCache>
            </c:numRef>
          </c:val>
        </c:ser>
        <c:dLbls>
          <c:showLegendKey val="0"/>
          <c:showVal val="1"/>
          <c:showCatName val="0"/>
          <c:showSerName val="0"/>
          <c:showPercent val="0"/>
          <c:showBubbleSize val="0"/>
        </c:dLbls>
        <c:gapWidth val="246"/>
        <c:overlap val="-28"/>
        <c:axId val="773927766"/>
        <c:axId val="144845002"/>
      </c:barChart>
      <c:catAx>
        <c:axId val="773927766"/>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144845002"/>
        <c:crosses val="autoZero"/>
        <c:auto val="1"/>
        <c:lblAlgn val="ctr"/>
        <c:lblOffset val="100"/>
        <c:noMultiLvlLbl val="0"/>
      </c:catAx>
      <c:valAx>
        <c:axId val="144845002"/>
        <c:scaling>
          <c:orientation val="minMax"/>
        </c:scaling>
        <c:delete val="0"/>
        <c:axPos val="l"/>
        <c:majorGridlines>
          <c:spPr>
            <a:ln w="9525" cap="flat" cmpd="sng" algn="ctr">
              <a:solidFill>
                <a:schemeClr val="lt1">
                  <a:lumMod val="902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77392776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2d73a135-2dda-406e-bb97-510e5d7e9d91}"/>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Ряды 1</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педагог-зерттеуші</c:v>
                </c:pt>
                <c:pt idx="1">
                  <c:v>педагог-сарапшы</c:v>
                </c:pt>
                <c:pt idx="2">
                  <c:v>педагог-модератор</c:v>
                </c:pt>
                <c:pt idx="3">
                  <c:v>педагог</c:v>
                </c:pt>
                <c:pt idx="4">
                  <c:v>2 санат</c:v>
                </c:pt>
                <c:pt idx="5">
                  <c:v>санаты жоқ</c:v>
                </c:pt>
              </c:strCache>
            </c:strRef>
          </c:cat>
          <c:val>
            <c:numRef>
              <c:f>Sheet1!$B$2:$B$7</c:f>
              <c:numCache>
                <c:formatCode>General</c:formatCode>
                <c:ptCount val="6"/>
                <c:pt idx="1" c:formatCode="0%">
                  <c:v>0.22</c:v>
                </c:pt>
                <c:pt idx="2" c:formatCode="0%">
                  <c:v>0.44</c:v>
                </c:pt>
                <c:pt idx="3" c:formatCode="0%">
                  <c:v>0.26</c:v>
                </c:pt>
                <c:pt idx="4" c:formatCode="0%">
                  <c:v>0.04</c:v>
                </c:pt>
                <c:pt idx="5" c:formatCode="0%">
                  <c:v>0.04</c:v>
                </c:pt>
              </c:numCache>
            </c:numRef>
          </c:val>
        </c:ser>
        <c:dLbls>
          <c:showLegendKey val="0"/>
          <c:showVal val="1"/>
          <c:showCatName val="0"/>
          <c:showSerName val="0"/>
          <c:showPercent val="0"/>
          <c:showBubbleSize val="0"/>
        </c:dLbls>
        <c:gapWidth val="75"/>
        <c:overlap val="0"/>
        <c:axId val="49369641"/>
        <c:axId val="26873224"/>
      </c:barChart>
      <c:catAx>
        <c:axId val="4936964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26873224"/>
        <c:crosses val="autoZero"/>
        <c:auto val="1"/>
        <c:lblAlgn val="ctr"/>
        <c:lblOffset val="100"/>
        <c:noMultiLvlLbl val="0"/>
      </c:catAx>
      <c:valAx>
        <c:axId val="26873224"/>
        <c:scaling>
          <c:orientation val="minMax"/>
        </c:scaling>
        <c:delete val="0"/>
        <c:axPos val="l"/>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49369641"/>
        <c:crosses val="autoZero"/>
        <c:crossBetween val="between"/>
      </c:valAx>
      <c:spPr>
        <a:noFill/>
        <a:ln>
          <a:noFill/>
        </a:ln>
        <a:effectLst/>
      </c:spPr>
    </c:plotArea>
    <c:plotVisOnly val="1"/>
    <c:dispBlanksAs val="gap"/>
    <c:showDLblsOverMax val="0"/>
    <c:extLst>
      <c:ext uri="{0b15fc19-7d7d-44ad-8c2d-2c3a37ce22c3}">
        <chartProps xmlns="https://web.wps.cn/et/2018/main" chartId="{c1e5825f-cc96-44a0-82cf-dbadbc9b694b}"/>
      </c:ext>
    </c:extLst>
  </c:chart>
  <c:spPr>
    <a:solidFill>
      <a:schemeClr val="bg1"/>
    </a:solidFill>
    <a:ln w="9525" cap="flat" cmpd="sng" algn="ctr">
      <a:solidFill>
        <a:schemeClr val="tx1">
          <a:lumMod val="15000"/>
          <a:lumOff val="85000"/>
        </a:schemeClr>
      </a:solidFill>
      <a:round/>
    </a:ln>
    <a:effectLst/>
  </c:spPr>
  <c:txPr>
    <a:bodyPr/>
    <a:lstStyle/>
    <a:p>
      <a:pPr>
        <a:defRPr lang="ru-RU"/>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5</Pages>
  <Words>1027</Words>
  <Characters>7515</Characters>
  <TotalTime>0</TotalTime>
  <ScaleCrop>false</ScaleCrop>
  <LinksUpToDate>false</LinksUpToDate>
  <CharactersWithSpaces>8458</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2026-06-11T08:39:25Z</dcterms:created>
  <dc:creator>Ольга</dc:creator>
  <cp:lastModifiedBy>Olga Step</cp:lastModifiedBy>
  <dcterms:modified xsi:type="dcterms:W3CDTF">2026-06-11T08:41:10Z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1049-12.1.0.26880</vt:lpwstr>
  </property>
  <property fmtid="{D5CDD505-2E9C-101B-9397-08002B2CF9AE}" pid="3" name="ICV">
    <vt:lpwstr>896E8E3292DA4A858829BF8EB67B65DE_11</vt:lpwstr>
  </property>
  <property fmtid="{D5CDD505-2E9C-101B-9397-08002B2CF9AE}" pid="4" name="KSOTemplateDocerSaveRecord">
    <vt:lpwstr>eyJoZGlkIjoiOTY3YjhmMDU2MmRkOTRmYTE3YzkzNWU2M2NlYjY3MzQiLCJ1c2VySWQiOiI1Mzc3ODA3NTE0MjQzIn0=</vt:lpwstr>
  </property>
</Properties>
</file>