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DBDD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VI БӨЛІМ</w:t>
      </w:r>
    </w:p>
    <w:p w14:paraId="4C26FF8B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Оқу-әдістемелік кешендер және ақпараттық ресурстар</w:t>
      </w:r>
    </w:p>
    <w:p w14:paraId="2881EDA8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instrText xml:space="preserve"> HYPERLINK "https://drive.google.com/drive/folders/15a8PUzMgD4DfsTcTqeuXp3BDpwmxv3nU?usp=drive_link" </w:instrTex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sz w:val="28"/>
          <w:szCs w:val="28"/>
        </w:rPr>
        <w:t>https://drive.google.com/drive/folders/15a8PUzMgD4DfsTcTqeuXp3BDpwmxv3nU?usp=drive_link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fldChar w:fldCharType="end"/>
      </w:r>
    </w:p>
    <w:p w14:paraId="2319306B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35FB3D76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21-тармақ. Мектепалды даярлық бойынша Үлгілік оқу жоспарын (ҮОЖ) іске асыратын білім беру ұйымдары үшін оқу-әдістемелік кешендердің болуы</w:t>
      </w:r>
    </w:p>
    <w:p w14:paraId="16EE769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8973A1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Балабақшада педагогтерге әдістемелік көмек көрсету, консультациялар, семинарлар және педагогикалық кеңестер ұйымдастыру мақсатында әдістемелік кабинет жұмыс істейді.</w:t>
      </w:r>
    </w:p>
    <w:p w14:paraId="4DC4E673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Әдістемелік кабинет нормативтік-құқықтық құжаттармен, әдістемелік әдебиеттермен, озық педагогикалық тәжірибе материалдарымен қамтамасыз етілген және олар жүйелі түрде толықтырылып, жаңартылып отырады.</w:t>
      </w:r>
    </w:p>
    <w:p w14:paraId="24956EE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Мектепалды даярлық топтары үшін «Shygulakitap» және «Алматыкітап баспасы» баспаларының қажетті оқу-әдістемелік әдебиеттері бар.</w:t>
      </w:r>
    </w:p>
    <w:p w14:paraId="0806FB1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Балалармен тәрбиелеу-білім беру процесін ұйымдастыру үшін әдістемелік кабинетте бағдарламалық-әдістемелік материалдар, көрнекі және демонстрациялық материалдар жинақталған.</w:t>
      </w:r>
    </w:p>
    <w:p w14:paraId="115D90A5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Қорытынды:</w:t>
      </w:r>
    </w:p>
    <w:p w14:paraId="3D723193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Мектепалды даярлық бойынша Үлгілік оқу жоспарын іске асыратын білім беру ұйымдары үшін оқу-әдістемелік кешендермен қамтамасыз етілуі бойынша ішінара сәйкессіздік анықталды.Бағалау нәтижесі – 3 балл.</w:t>
      </w:r>
    </w:p>
    <w:p w14:paraId="1BA0853E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2741E775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22-тармақ. Жабдықтау нормаларына сәйкес тәрбиеленушілердің коммуникативтік, танымдық, зияткерлік, шығармашылық, қимыл-қозғалыс және әлеуметтік дағдыларын дамытуға арналған оқу және ойын материалдарының болуы</w:t>
      </w:r>
    </w:p>
    <w:p w14:paraId="310AA4BE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instrText xml:space="preserve"> HYPERLINK "https://drive.google.com/file/d/1vug1TDF2mzE0fIY2rH3UnnvqXsaQHLil/view?usp=drive_link" </w:instrTex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https://drive.google.com/file/d/1vug1TDF2mzE0fIY2rH3UnnvqXsaQHLil/view?usp=drive_link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</w:p>
    <w:p w14:paraId="18656251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</w:p>
    <w:p w14:paraId="3E67372F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Балабақша топтарында мектепке дейінгі тәрбие мен оқыту ұйымдарын жабдықтау нормаларына сәйкес тәрбиеленушілердің жан-жақты дамуын қамтамасыз ететін дамытушы заттық-кеңістіктік орта құрылған.</w:t>
      </w:r>
    </w:p>
    <w:p w14:paraId="7DAC19E3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Коммуникативтік дағдыларды дамыту үшін сюжеттік-рөлдік ойындар, театрландырылған бұрыштар, үстел үсті және дидактикалық ойындар ұйымдастырылған. Олар балалардың қарым-қатынас жасау, ынтымақтастық орнату және құрдастарымен әрі ересектермен өзара әрекеттесу дағдыларын қалыптастыруға ықпал етеді.</w:t>
      </w:r>
    </w:p>
    <w:p w14:paraId="1A96502F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Танымдық және зияткерлік даму дидактикалық материалдардың, дамытушы ойындардың, әртүрлі құрылыс және құрастыру жиынтықтарының, тәжірибе жасауға арналған құралдардың, танымдық әдебиеттердің, көрнекі құралдардың, математикалық және логикалық ойындардың болуы арқылы қамтамасыз етіледі.</w:t>
      </w:r>
    </w:p>
    <w:p w14:paraId="2FB3846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Тәрбиеленушілердің шығармашылық қабілеттерін дамыту мақсатында топтар бейнелеу қызметіне, мүсіндеуге, жапсыруға, құрастыруға арналған материалдармен, музыкалық аспаптармен, театрлық атрибуттармен және көркем шығармашылыққа арналған құралдармен жабдықталған.</w:t>
      </w:r>
    </w:p>
    <w:p w14:paraId="4DF639ED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Балалардың қимыл-қозғалыс дағдыларын дамыту спорттық құрал-жабдықтарды, қимылды ойындарға арналған жабдықтарды, дене шынықтыру құралдарын, доптарды, шығыршықтарды, секіртпелерді және денсаулықты нығайтуға әрі негізгі қимыл-қозғалыс түрлерін дамытуға бағытталған басқа да құралдарды пайдалану арқылы жүзеге асырылады.</w:t>
      </w:r>
    </w:p>
    <w:p w14:paraId="4DA117C3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Әлеуметтік дағдылар ойын әрекетін, бірлескен жобаларды, еңбек тапсырмаларын, сюжеттік-рөлдік және коммуникативтік ойындарды ұйымдастыру арқылы қалыптастырылады. Бұл жұмыстар балалардың дербестігін, жауапкершілігін, бастамашылдығын және ұжымда өзара әрекеттесу дағдыларын дамытуға ықпал етеді.</w:t>
      </w:r>
    </w:p>
    <w:p w14:paraId="595359E6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Оқу және ойын материалдары жүйелі түрде жаңартылып отырады, тәрбиеленушілердің жас ерекшеліктеріне және қауіпсіздік талаптарына сәйкес келеді, сондай-ақ әрбір баланың тұлғалық дамуын толыққанды қамтамасыз етеді.</w:t>
      </w:r>
    </w:p>
    <w:p w14:paraId="5BD00A4A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Кітапхана қоры жыл сайын мемлекеттік және орыс тілдеріндегі көркем әдебиеттермен толықтырылады. Әрбір жас тобында көркем әдебиеттермен толықтырылып отыратын кітап бұрыштары ұйымдастырылған.</w:t>
      </w:r>
    </w:p>
    <w:p w14:paraId="49DC4E91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Қорытынды:</w:t>
      </w:r>
    </w:p>
    <w:p w14:paraId="30C2D952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Тәрбиеленушілердің коммуникативтік, танымдық, зияткерлік, шығармашылық, қимыл-қозғалыс және әлеуметтік дағдыларын дамытуға арналған оқу және ойын материалдарының болуы бойынша болмашы кемшіліктер анықталды.</w:t>
      </w:r>
    </w:p>
    <w:p w14:paraId="0F78669D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Бағалау нәтижесі – 4 балл.</w:t>
      </w:r>
    </w:p>
    <w:p w14:paraId="2E155EB6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E826639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23-тармақ. Тәрбие-білім беру процесінде ақпараттық-коммуникациялық технологиялармен қамтамасыз етілуі және оларды пайдалану</w:t>
      </w:r>
    </w:p>
    <w:p w14:paraId="1BF36E3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Бар болуы:</w:t>
      </w:r>
    </w:p>
    <w:p w14:paraId="7BAF6F6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-компьютерлік техника – 6 компьютер;</w:t>
      </w:r>
    </w:p>
    <w:p w14:paraId="6263D91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-қара-ақ түсті принтер – 4 дана;</w:t>
      </w:r>
    </w:p>
    <w:p w14:paraId="5560C1B6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-түрлі-түсті принтер – 1 дана;</w:t>
      </w:r>
    </w:p>
    <w:p w14:paraId="644C4C9C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-көпфункционалды құрылғы (МФҚ: принтер, сканер, көшірме құрылғысы) – 3 дана;</w:t>
      </w:r>
    </w:p>
    <w:p w14:paraId="1E3EBB8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-теледидарлар – 11 дана (оның ішінде 10 дана топтарда, 1 дана қазақ тілі кабинетінде);</w:t>
      </w:r>
    </w:p>
    <w:p w14:paraId="399E6C4A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-музыкалық орталық – 2 дана;</w:t>
      </w:r>
    </w:p>
    <w:p w14:paraId="254A9DC1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-проектор – 1 дана.</w:t>
      </w:r>
    </w:p>
    <w:p w14:paraId="5CB8F723">
      <w:pPr>
        <w:spacing w:line="240" w:lineRule="auto"/>
        <w:ind w:firstLine="420" w:firstLineChars="15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Компьютерлік техника мамандар мен тәрбиешілердің жұмысында пайдаланылады. Компьютерлердің 5-еуі интернет желісіне қосылған. Интернет желісінің жылдамдығы – 20 Мбит/с.</w:t>
      </w:r>
    </w:p>
    <w:p w14:paraId="2E5E6A3C">
      <w:pPr>
        <w:spacing w:line="240" w:lineRule="auto"/>
        <w:ind w:firstLine="420" w:firstLineChars="15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Ақпараттық-коммуникациялық технологиялар ата-аналармен өзара байланыс орнату барысында да қолданылады. Электрондық пошта, мессенджерлер және ақпараттық платформалар арқылы ақпарат алмасу жүзеге асырылады, мамандардың кеңестері мен ұсынымдары, балабақша өмірінен фото және бейнематериалдар жарияланады.</w:t>
      </w:r>
    </w:p>
    <w:p w14:paraId="4C27B353">
      <w:pPr>
        <w:spacing w:line="240" w:lineRule="auto"/>
        <w:ind w:firstLine="420" w:firstLineChars="15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Педагогтер ақпараттық-коммуникациялық құзыреттіліктерін тұрақты түрде жетілдіріп отырады, вебинарларға, онлайн-семинарларға және біліктілікті арттырудың қашықтықтан оқыту курстарына қатысады.</w:t>
      </w:r>
    </w:p>
    <w:p w14:paraId="05AA9833">
      <w:pPr>
        <w:spacing w:line="240" w:lineRule="auto"/>
        <w:ind w:firstLine="280" w:firstLineChars="10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«Білім беру процессі және жасанды интеллект: генеративті модельдер және промпт-инжиниринг өнері» тақырыбындағы курс бойынша «ӨРЛЕУ» біліктілікті арттыру ұлттық орталығы» акционерлік қоғамында барлық педагогтер (24 педагог) оқудан өтті;</w:t>
      </w:r>
    </w:p>
    <w:p w14:paraId="36853DAC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«Білім берудегі жасанды интеллект: инновациялық технологиялар және оқу процесін цифрлық трансформациялау» тақырыбындағы курс бойынша «DARYN USTAZ» педагогтердің кәсіби біліктілігін арттыру орталығында 5 педагог біліктілігін арттырды.</w:t>
      </w:r>
    </w:p>
    <w:p w14:paraId="2613318F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76431FAF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Қорытынды:</w:t>
      </w:r>
    </w:p>
    <w:p w14:paraId="6F3F09D6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Ақпараттық-коммуникациялық технологиялармен қамтамасыз етілу деңгейі одан әрі жетілдіруді қажет етеді. Интернет желісіне қолжетімділік немесе ақпараттық білім беру ресурстарын пайдалану заңнаманың жекелеген міндетті талаптарына толық сәйкес келмейді, бұл тәрбие-білім беру процесінің мүмкіндіктерін белгілі бір дәрежеде шектейді.Бағалау нәтижесі – 3 балл.</w:t>
      </w:r>
    </w:p>
    <w:p w14:paraId="49C5F493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  <w:lang w:val="ru-RU"/>
        </w:rPr>
      </w:pPr>
    </w:p>
    <w:p w14:paraId="008E6C5A"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тармақ. Ресми интернет-ресурстың және edu.kz аймағындағы домендік атаудың болуы</w:t>
      </w:r>
    </w:p>
    <w:p w14:paraId="79BFD583">
      <w:pPr>
        <w:numPr>
          <w:ilvl w:val="0"/>
          <w:numId w:val="1"/>
        </w:num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41F02C24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Мектепке дейінгі ұйымның қызметінің ашықтығын қамтамасыз ету, ата-аналармен және жұртшылықпен өзара байланыс орнату мақсатында ресми интернет-ресурстары жұмыс істейді.</w:t>
      </w:r>
    </w:p>
    <w:p w14:paraId="0C5704AE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Электрондық пошта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instrText xml:space="preserve"> HYPERLINK "mailto:erketay_balabaqsha@mail.kz" </w:instrTex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erketay_balabaqsha@mail.kz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</w:p>
    <w:p w14:paraId="146920FC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Instagram әлеуметтік желісіндегі ресми парақша: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instrText xml:space="preserve"> HYPERLINK "https://www.instagram.com/erketay_det_sad/" </w:instrTex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https://www.instagram.com/erketay_det_sad/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</w:p>
    <w:p w14:paraId="6C56B8CB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Facebook әлеуметтік желісіндегі ресми парақша: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instrText xml:space="preserve"> HYPERLINK "https://www.facebook.com/profile.php?id=100011241823379" </w:instrTex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https://www.facebook.com/profile.php?id=100011241823379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</w:p>
    <w:p w14:paraId="3C33E5C3">
      <w:pPr>
        <w:spacing w:line="240" w:lineRule="auto"/>
        <w:jc w:val="left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Edu.kz аймағындағы домендік атауы бар ресми сайт: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instrText xml:space="preserve"> HYPERLINK "http://ds0004.stepnogorsk.aqmoedu.kz" </w:instrTex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t>http://ds0004.stepnogorsk.aqmoedu.kz</w:t>
      </w:r>
      <w:r>
        <w:rPr>
          <w:rFonts w:hint="default" w:ascii="Times New Roman" w:hAnsi="Times New Roman" w:cs="Times New Roman"/>
          <w:color w:val="0000FF"/>
          <w:sz w:val="28"/>
          <w:szCs w:val="28"/>
        </w:rPr>
        <w:fldChar w:fldCharType="end"/>
      </w:r>
    </w:p>
    <w:p w14:paraId="6CF6D15C">
      <w:pPr>
        <w:spacing w:line="240" w:lineRule="auto"/>
        <w:jc w:val="left"/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bdr w:val="none" w:color="auto" w:sz="0" w:space="0"/>
          <w:vertAlign w:val="baseline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bdr w:val="none" w:color="auto" w:sz="0" w:space="0"/>
          <w:vertAlign w:val="baseline"/>
        </w:rPr>
        <w:drawing>
          <wp:inline distT="0" distB="0" distL="114300" distR="114300">
            <wp:extent cx="3587750" cy="2513965"/>
            <wp:effectExtent l="0" t="0" r="12700" b="6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7750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8A26C5">
      <w:pPr>
        <w:spacing w:line="240" w:lineRule="auto"/>
        <w:jc w:val="left"/>
        <w:rPr>
          <w:rFonts w:hint="default" w:ascii="Times New Roman" w:hAnsi="Times New Roman" w:eastAsia="SimSun" w:cs="Times New Roman"/>
          <w:i w:val="0"/>
          <w:iCs w:val="0"/>
          <w:color w:val="000000"/>
          <w:sz w:val="26"/>
          <w:szCs w:val="26"/>
          <w:u w:val="none"/>
          <w:bdr w:val="none" w:color="auto" w:sz="0" w:space="0"/>
          <w:vertAlign w:val="baseline"/>
        </w:rPr>
      </w:pPr>
    </w:p>
    <w:p w14:paraId="002CF8F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Балабақшаның қызметі туралы ақпарат интернет-ресурстарда күн сайын жаңартылып отырады.</w:t>
      </w:r>
    </w:p>
    <w:p w14:paraId="566E2B53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598A2983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Қорытынды:</w:t>
      </w:r>
    </w:p>
    <w:p w14:paraId="4A94F47B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Мектепке дейінгі ұйымның ресми интернет-ресурсы тұрақты жұмыс істейді, домендік атауы edu.kz аймағында тіркелген. Орналастырылған ақпарат өзекті болып табылады және Қазақстан Республикасы заңнамасының талаптарына сәйкес келеді.</w:t>
      </w:r>
    </w:p>
    <w:p w14:paraId="38C54F48">
      <w:pPr>
        <w:spacing w:line="240" w:lineRule="auto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Бағалау нәтижесі – 5 балл.</w:t>
      </w:r>
      <w:bookmarkStart w:id="0" w:name="_GoBack"/>
      <w:bookmarkEnd w:id="0"/>
    </w:p>
    <w:p w14:paraId="0FA45B7F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9B90A76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Мектепке дейінгі ұйым келесі ақпараттық жүйелерде жұмыс жүргізеді:</w:t>
      </w:r>
    </w:p>
    <w:p w14:paraId="404C7119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«Aqmola.kz» ақпараттық жүйесі – Ақмола облысының мамандандырылған порталы. Аталған жүйе арқылы ата-аналар баланы балабақшаға кезекке қашықтықтан қоя алады және мектепке дейінгі ұйымға қабылдауға жолдама алады.</w:t>
      </w:r>
    </w:p>
    <w:p w14:paraId="5A804A3D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Ұлттық білім беру деректер қоры (ҰБДҚ) – тәрбиеленушілердің толық есебін жүргізуді қамтамасыз етеді, ұйым паспортын толтыру рәсімін жеңілдетеді, статистикалық деректердің тарихи қатарын қалыптастырады, педагогтерді жұмысқа қабылдау үдерісін сүйемелдейді.</w:t>
      </w:r>
    </w:p>
    <w:p w14:paraId="5F422E5B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«ҰСТАЗ» платформасы – Қазақстан педагогтерінің үздіксіз кәсіби дамуына арналған ұлттық платформа (Ustaz.edu.kz порталы). Платформа арқылы педагогтер аттестаттаудан өтеді, біліктілігін арттырады және кәсіби құзыреттіліктерін жетілдіреді.</w:t>
      </w:r>
    </w:p>
    <w:p w14:paraId="132C4B45"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Аталған ақпараттық жүйелерді пайдалану ұйым қызметінің ашықтығын, деректердің сапалы жүргізілуін және тәрбие-білім беру процесін цифрландыруды қамтамасыз етеді.</w:t>
      </w:r>
    </w:p>
    <w:p w14:paraId="745081BF">
      <w:pPr>
        <w:spacing w:line="240" w:lineRule="auto"/>
        <w:jc w:val="left"/>
        <w:rPr>
          <w:rFonts w:hint="default" w:ascii="Times New Roman" w:hAnsi="Times New Roman" w:cs="Times New Roman"/>
          <w:color w:val="4874CB" w:themeColor="accent1"/>
          <w:sz w:val="28"/>
          <w:szCs w:val="28"/>
          <w:lang w:val="ru-RU"/>
          <w14:textFill>
            <w14:solidFill>
              <w14:schemeClr w14:val="accent1"/>
            </w14:solidFill>
          </w14:textFill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58FB"/>
    <w:multiLevelType w:val="singleLevel"/>
    <w:tmpl w:val="6A1658FB"/>
    <w:lvl w:ilvl="0" w:tentative="0">
      <w:start w:val="24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C330B"/>
    <w:rsid w:val="271C330B"/>
    <w:rsid w:val="332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781</Words>
  <Characters>6777</Characters>
  <Lines>0</Lines>
  <Paragraphs>0</Paragraphs>
  <TotalTime>12</TotalTime>
  <ScaleCrop>false</ScaleCrop>
  <LinksUpToDate>false</LinksUpToDate>
  <CharactersWithSpaces>7498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2026-06-08T05:23:00Z</dcterms:created>
  <dc:creator>Гульмира</dc:creator>
  <cp:lastModifiedBy>Olga Step</cp:lastModifiedBy>
  <dcterms:modified xsi:type="dcterms:W3CDTF">2026-06-12T10:14:04Z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8B645801DE564A94A01E0127CD41638F_11</vt:lpwstr>
  </property>
  <property fmtid="{D5CDD505-2E9C-101B-9397-08002B2CF9AE}" pid="4" name="KSOTemplateDocerSaveRecord">
    <vt:lpwstr>eyJoZGlkIjoiOTY3YjhmMDU2MmRkOTRmYTE3YzkzNWU2M2NlYjY3MzQiLCJ1c2VySWQiOiI1Mzc3ODA3NTE0MjQzIn0=</vt:lpwstr>
  </property>
</Properties>
</file>